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89" w:tblpY="568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885"/>
        <w:gridCol w:w="2868"/>
        <w:gridCol w:w="3612"/>
      </w:tblGrid>
      <w:tr w:rsidR="00091D64" w:rsidRPr="00DB7679" w:rsidTr="00AD73C8">
        <w:trPr>
          <w:trHeight w:hRule="exact" w:val="851"/>
        </w:trPr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:rsidR="00091D64" w:rsidRPr="000F3A9F" w:rsidRDefault="00091D64" w:rsidP="00AD73C8">
            <w:pPr>
              <w:rPr>
                <w:rFonts w:hint="cs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bottom"/>
          </w:tcPr>
          <w:p w:rsidR="00091D64" w:rsidRPr="00DB7679" w:rsidRDefault="00091D64" w:rsidP="00AD73C8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bottom"/>
          </w:tcPr>
          <w:p w:rsidR="00091D64" w:rsidRPr="00DB7679" w:rsidRDefault="00091D64" w:rsidP="00AD73C8">
            <w:pPr>
              <w:bidi w:val="0"/>
              <w:spacing w:after="20"/>
              <w:jc w:val="left"/>
              <w:rPr>
                <w:szCs w:val="20"/>
              </w:rPr>
            </w:pPr>
            <w:r w:rsidRPr="00B52881">
              <w:rPr>
                <w:sz w:val="40"/>
              </w:rPr>
              <w:t>CAT</w:t>
            </w:r>
            <w:r>
              <w:t>/C/</w:t>
            </w:r>
            <w:r w:rsidRPr="002A4D17">
              <w:rPr>
                <w:color w:val="FF0000"/>
              </w:rPr>
              <w:t>SS</w:t>
            </w:r>
            <w:r>
              <w:t>/D/</w:t>
            </w:r>
            <w:r w:rsidRPr="002A4D17">
              <w:rPr>
                <w:color w:val="FF0000"/>
              </w:rPr>
              <w:t>XXX</w:t>
            </w:r>
            <w:r>
              <w:t>/</w:t>
            </w:r>
            <w:r w:rsidRPr="002A4D17">
              <w:rPr>
                <w:color w:val="FF0000"/>
              </w:rPr>
              <w:t>YYYY</w:t>
            </w:r>
          </w:p>
        </w:tc>
      </w:tr>
      <w:tr w:rsidR="00091D64" w:rsidRPr="008B4BC6" w:rsidTr="00AD73C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091D64" w:rsidRPr="00DB7679" w:rsidRDefault="00091D64" w:rsidP="00AD73C8">
            <w:pPr>
              <w:jc w:val="center"/>
            </w:pPr>
            <w:r w:rsidRPr="00DB7679">
              <w:rPr>
                <w:noProof/>
                <w:lang w:eastAsia="zh-CN"/>
              </w:rPr>
              <w:drawing>
                <wp:inline distT="0" distB="0" distL="0" distR="0">
                  <wp:extent cx="676910" cy="62928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91D64" w:rsidRPr="008D5C5D" w:rsidRDefault="00091D64" w:rsidP="008D5C5D">
            <w:pPr>
              <w:spacing w:before="120" w:line="460" w:lineRule="exact"/>
              <w:ind w:right="183"/>
              <w:rPr>
                <w:b/>
                <w:bCs/>
                <w:sz w:val="52"/>
                <w:szCs w:val="52"/>
                <w:rtl/>
              </w:rPr>
            </w:pPr>
            <w:r w:rsidRPr="008D5C5D">
              <w:rPr>
                <w:rFonts w:hint="cs"/>
                <w:b/>
                <w:bCs/>
                <w:sz w:val="52"/>
                <w:szCs w:val="52"/>
                <w:rtl/>
              </w:rPr>
              <w:t>اتفاقية مناهضة التعذيب وغيره</w:t>
            </w:r>
            <w:r w:rsidR="008D5C5D">
              <w:rPr>
                <w:rFonts w:hint="cs"/>
                <w:b/>
                <w:bCs/>
                <w:sz w:val="52"/>
                <w:szCs w:val="52"/>
                <w:rtl/>
              </w:rPr>
              <w:t xml:space="preserve"> </w:t>
            </w:r>
            <w:r w:rsidRPr="008D5C5D">
              <w:rPr>
                <w:rFonts w:hint="cs"/>
                <w:b/>
                <w:bCs/>
                <w:sz w:val="52"/>
                <w:szCs w:val="52"/>
                <w:rtl/>
              </w:rPr>
              <w:t>من ضروب المعاملة أو العقوبة</w:t>
            </w:r>
            <w:r w:rsidR="008D5C5D">
              <w:rPr>
                <w:rFonts w:hint="cs"/>
                <w:b/>
                <w:bCs/>
                <w:sz w:val="52"/>
                <w:szCs w:val="52"/>
                <w:rtl/>
              </w:rPr>
              <w:t xml:space="preserve"> </w:t>
            </w:r>
            <w:r w:rsidRPr="008D5C5D">
              <w:rPr>
                <w:rFonts w:hint="cs"/>
                <w:b/>
                <w:bCs/>
                <w:sz w:val="52"/>
                <w:szCs w:val="52"/>
                <w:rtl/>
              </w:rPr>
              <w:t>القاسية أو اللاإنسانية أو المهينة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12" w:space="0" w:color="auto"/>
            </w:tcBorders>
          </w:tcPr>
          <w:p w:rsidR="00091D64" w:rsidRDefault="00091D64" w:rsidP="00AD73C8">
            <w:pPr>
              <w:bidi w:val="0"/>
              <w:spacing w:before="240"/>
              <w:jc w:val="left"/>
            </w:pPr>
            <w:r>
              <w:t>Distr.: General</w:t>
            </w:r>
          </w:p>
          <w:p w:rsidR="00091D64" w:rsidRPr="00091D64" w:rsidRDefault="00091D64" w:rsidP="00AD73C8">
            <w:pPr>
              <w:bidi w:val="0"/>
              <w:jc w:val="left"/>
              <w:rPr>
                <w:color w:val="FF0000"/>
              </w:rPr>
            </w:pPr>
            <w:r w:rsidRPr="00091D64">
              <w:rPr>
                <w:color w:val="FF0000"/>
              </w:rPr>
              <w:t>Date</w:t>
            </w:r>
          </w:p>
          <w:p w:rsidR="00091D64" w:rsidRDefault="00091D64" w:rsidP="00AD73C8">
            <w:pPr>
              <w:bidi w:val="0"/>
              <w:jc w:val="left"/>
            </w:pPr>
            <w:r>
              <w:t>Arabic</w:t>
            </w:r>
          </w:p>
          <w:p w:rsidR="00091D64" w:rsidRPr="008B4BC6" w:rsidRDefault="00091D64" w:rsidP="00AD73C8">
            <w:pPr>
              <w:bidi w:val="0"/>
              <w:jc w:val="left"/>
            </w:pPr>
            <w:r>
              <w:t>Original: English</w:t>
            </w:r>
          </w:p>
        </w:tc>
      </w:tr>
    </w:tbl>
    <w:p w:rsidR="00091D64" w:rsidRPr="00091D64" w:rsidRDefault="00091D64" w:rsidP="00091D64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091D64">
        <w:rPr>
          <w:b/>
          <w:bCs/>
          <w:sz w:val="26"/>
          <w:szCs w:val="36"/>
          <w:rtl/>
          <w:cs/>
          <w:lang w:eastAsia="zh-TW"/>
        </w:rPr>
        <w:t>‎لجنة مناهضة التعذيب‏‏</w:t>
      </w:r>
    </w:p>
    <w:p w:rsidR="00091D64" w:rsidRDefault="00091D64" w:rsidP="00091D64">
      <w:pPr>
        <w:pStyle w:val="HChGA"/>
        <w:rPr>
          <w:sz w:val="20"/>
          <w:rtl/>
          <w:lang w:eastAsia="zh-TW" w:bidi="ar-DZ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Pr="000D7F7C">
        <w:rPr>
          <w:rtl/>
          <w:lang w:eastAsia="zh-TW"/>
        </w:rPr>
        <w:t>قرار اعتمدته اللجنة بموجب المادة 22 من الاتفاقية، بشأن البلاغ رقم</w:t>
      </w:r>
      <w:r>
        <w:rPr>
          <w:rFonts w:hint="cs"/>
          <w:color w:val="FF0000"/>
          <w:rtl/>
        </w:rPr>
        <w:t> </w:t>
      </w:r>
      <w:r w:rsidRPr="00334C34">
        <w:rPr>
          <w:color w:val="FF0000"/>
        </w:rPr>
        <w:t>XXX</w:t>
      </w:r>
      <w:r w:rsidRPr="000D7F7C">
        <w:rPr>
          <w:rtl/>
          <w:lang w:eastAsia="zh-TW"/>
        </w:rPr>
        <w:t>/</w:t>
      </w:r>
      <w:r w:rsidRPr="00334C34">
        <w:rPr>
          <w:color w:val="FF0000"/>
        </w:rPr>
        <w:t>YYYY</w:t>
      </w:r>
      <w:r w:rsidRPr="00091D64">
        <w:rPr>
          <w:rStyle w:val="FootnoteReference"/>
          <w:sz w:val="20"/>
          <w:vertAlign w:val="baseline"/>
          <w:rtl/>
        </w:rPr>
        <w:footnoteReference w:customMarkFollows="1" w:id="1"/>
        <w:t>*</w:t>
      </w:r>
      <w:r w:rsidRPr="00091D64">
        <w:rPr>
          <w:rStyle w:val="FootnoteReference"/>
          <w:rFonts w:hint="cs"/>
          <w:sz w:val="20"/>
          <w:vertAlign w:val="baseline"/>
          <w:rtl/>
        </w:rPr>
        <w:t xml:space="preserve"> </w:t>
      </w:r>
      <w:r w:rsidRPr="00091D64">
        <w:rPr>
          <w:rStyle w:val="FootnoteReference"/>
          <w:b/>
          <w:sz w:val="20"/>
          <w:vertAlign w:val="baseline"/>
          <w:rtl/>
        </w:rPr>
        <w:footnoteReference w:customMarkFollows="1" w:id="2"/>
        <w:t>**</w:t>
      </w:r>
    </w:p>
    <w:p w:rsidR="00091D64" w:rsidRPr="00767460" w:rsidRDefault="00091D64" w:rsidP="00091D64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eastAsia="zh-TW"/>
        </w:rPr>
      </w:pPr>
      <w:r w:rsidRPr="00091D64">
        <w:rPr>
          <w:i/>
          <w:iCs/>
          <w:rtl/>
          <w:lang w:eastAsia="zh-TW"/>
        </w:rPr>
        <w:t>بلاغ مقدم من:</w:t>
      </w:r>
      <w:r>
        <w:rPr>
          <w:i/>
          <w:iCs/>
          <w:rtl/>
          <w:lang w:eastAsia="zh-TW"/>
        </w:rPr>
        <w:tab/>
      </w:r>
      <w:r w:rsidRPr="000D7F7C">
        <w:rPr>
          <w:color w:val="FF0000"/>
          <w:rtl/>
          <w:lang w:eastAsia="zh-TW"/>
        </w:rPr>
        <w:t>الاسم [</w:t>
      </w:r>
      <w:r>
        <w:rPr>
          <w:rtl/>
          <w:lang w:eastAsia="zh-TW"/>
        </w:rPr>
        <w:t xml:space="preserve">(يمثله المحامي، </w:t>
      </w:r>
      <w:r w:rsidRPr="000D7F7C">
        <w:rPr>
          <w:color w:val="FF0000"/>
          <w:rtl/>
          <w:lang w:eastAsia="zh-TW"/>
        </w:rPr>
        <w:t>الاسم/المنظمة</w:t>
      </w:r>
      <w:r>
        <w:rPr>
          <w:rtl/>
          <w:lang w:eastAsia="zh-TW"/>
        </w:rPr>
        <w:t>)</w:t>
      </w:r>
      <w:r w:rsidRPr="000D7F7C">
        <w:rPr>
          <w:color w:val="FF0000"/>
          <w:rtl/>
          <w:lang w:eastAsia="zh-TW"/>
        </w:rPr>
        <w:t>]</w:t>
      </w:r>
    </w:p>
    <w:p w:rsidR="00091D64" w:rsidRPr="00767460" w:rsidRDefault="00091D64" w:rsidP="00091D64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eastAsia="zh-TW"/>
        </w:rPr>
      </w:pPr>
      <w:r w:rsidRPr="000D7F7C">
        <w:rPr>
          <w:i/>
          <w:iCs/>
          <w:rtl/>
          <w:lang w:eastAsia="zh-TW"/>
        </w:rPr>
        <w:t xml:space="preserve">الشخص المدعى أنه ضحية </w:t>
      </w:r>
      <w:r w:rsidRPr="000D7F7C">
        <w:rPr>
          <w:i/>
          <w:iCs/>
          <w:color w:val="FF0000"/>
          <w:rtl/>
          <w:lang w:eastAsia="zh-TW"/>
        </w:rPr>
        <w:t>(الأشخاص المدعى أنهم ضحايا)</w:t>
      </w:r>
      <w:r w:rsidRPr="000D7F7C">
        <w:rPr>
          <w:i/>
          <w:iCs/>
          <w:rtl/>
          <w:lang w:eastAsia="zh-TW"/>
        </w:rPr>
        <w:t>:</w:t>
      </w:r>
      <w:r>
        <w:rPr>
          <w:i/>
          <w:iCs/>
          <w:rtl/>
          <w:lang w:eastAsia="zh-TW"/>
        </w:rPr>
        <w:tab/>
      </w:r>
      <w:r>
        <w:rPr>
          <w:i/>
          <w:iCs/>
          <w:rtl/>
          <w:lang w:eastAsia="zh-TW"/>
        </w:rPr>
        <w:br/>
      </w:r>
      <w:r>
        <w:rPr>
          <w:rtl/>
          <w:lang w:eastAsia="zh-TW"/>
        </w:rPr>
        <w:t xml:space="preserve">صاحب </w:t>
      </w:r>
      <w:r w:rsidRPr="000D7F7C">
        <w:rPr>
          <w:color w:val="FF0000"/>
          <w:rtl/>
          <w:lang w:eastAsia="zh-TW"/>
        </w:rPr>
        <w:t>(أصحاب)</w:t>
      </w:r>
      <w:r>
        <w:rPr>
          <w:rtl/>
          <w:lang w:eastAsia="zh-TW"/>
        </w:rPr>
        <w:t xml:space="preserve"> الشكوى</w:t>
      </w:r>
    </w:p>
    <w:p w:rsidR="00091D64" w:rsidRPr="00767460" w:rsidRDefault="00091D64" w:rsidP="00091D64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eastAsia="zh-TW"/>
        </w:rPr>
      </w:pPr>
      <w:r w:rsidRPr="00091D64">
        <w:rPr>
          <w:i/>
          <w:iCs/>
          <w:rtl/>
          <w:lang w:eastAsia="zh-TW"/>
        </w:rPr>
        <w:t>الدولة الطرف:</w:t>
      </w:r>
      <w:r>
        <w:rPr>
          <w:i/>
          <w:iCs/>
          <w:rtl/>
          <w:lang w:eastAsia="zh-TW"/>
        </w:rPr>
        <w:tab/>
      </w:r>
      <w:r w:rsidRPr="000D7F7C">
        <w:rPr>
          <w:color w:val="FF0000"/>
          <w:rtl/>
          <w:lang w:eastAsia="zh-TW"/>
        </w:rPr>
        <w:t>الدولة</w:t>
      </w:r>
    </w:p>
    <w:p w:rsidR="00091D64" w:rsidRPr="00767460" w:rsidRDefault="00091D64" w:rsidP="00091D64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eastAsia="zh-TW"/>
        </w:rPr>
      </w:pPr>
      <w:r w:rsidRPr="00091D64">
        <w:rPr>
          <w:i/>
          <w:iCs/>
          <w:rtl/>
          <w:lang w:eastAsia="zh-TW"/>
        </w:rPr>
        <w:t>تاريخ تقديم الشكوى:</w:t>
      </w:r>
      <w:r>
        <w:rPr>
          <w:i/>
          <w:iCs/>
          <w:rtl/>
          <w:lang w:eastAsia="zh-TW"/>
        </w:rPr>
        <w:tab/>
      </w:r>
      <w:r w:rsidRPr="00784F6A">
        <w:rPr>
          <w:color w:val="FF0000"/>
          <w:rtl/>
          <w:lang w:eastAsia="zh-TW"/>
        </w:rPr>
        <w:t xml:space="preserve">التاريخ </w:t>
      </w:r>
      <w:r>
        <w:rPr>
          <w:rtl/>
          <w:lang w:eastAsia="zh-TW"/>
        </w:rPr>
        <w:t>(تاريخ الرسالة الأولى)</w:t>
      </w:r>
    </w:p>
    <w:p w:rsidR="00091D64" w:rsidRPr="00767460" w:rsidRDefault="00091D64" w:rsidP="00091D64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eastAsia="zh-TW"/>
        </w:rPr>
      </w:pPr>
      <w:r w:rsidRPr="00091D64">
        <w:rPr>
          <w:i/>
          <w:iCs/>
          <w:rtl/>
          <w:lang w:eastAsia="zh-TW"/>
        </w:rPr>
        <w:t>المسائل الموضوعية:</w:t>
      </w:r>
      <w:r>
        <w:rPr>
          <w:i/>
          <w:iCs/>
          <w:rtl/>
          <w:lang w:eastAsia="zh-TW"/>
        </w:rPr>
        <w:tab/>
      </w:r>
      <w:r w:rsidRPr="00784F6A">
        <w:rPr>
          <w:color w:val="FF0000"/>
          <w:rtl/>
          <w:lang w:eastAsia="zh-TW"/>
        </w:rPr>
        <w:t>[</w:t>
      </w:r>
      <w:r>
        <w:rPr>
          <w:rtl/>
          <w:lang w:eastAsia="zh-TW"/>
        </w:rPr>
        <w:t>خطر التعرض للتعذيب بعد الترحيل</w:t>
      </w:r>
      <w:r w:rsidRPr="00784F6A">
        <w:rPr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 </w:t>
      </w:r>
      <w:r w:rsidRPr="00784F6A">
        <w:rPr>
          <w:color w:val="FF0000"/>
          <w:rtl/>
          <w:lang w:eastAsia="zh-TW"/>
        </w:rPr>
        <w:t>[</w:t>
      </w:r>
      <w:r>
        <w:rPr>
          <w:rtl/>
          <w:lang w:eastAsia="zh-TW"/>
        </w:rPr>
        <w:t>الحق في التعويض</w:t>
      </w:r>
      <w:r w:rsidRPr="00784F6A">
        <w:rPr>
          <w:color w:val="FF0000"/>
          <w:rtl/>
          <w:lang w:eastAsia="zh-TW"/>
        </w:rPr>
        <w:t>] [مسألة أخرى]</w:t>
      </w:r>
    </w:p>
    <w:p w:rsidR="00091D64" w:rsidRDefault="00091D64" w:rsidP="008D5C5D">
      <w:pPr>
        <w:pStyle w:val="SingleTxtGA"/>
        <w:spacing w:before="240"/>
        <w:rPr>
          <w:rtl/>
          <w:lang w:eastAsia="zh-TW"/>
        </w:rPr>
      </w:pPr>
      <w:r>
        <w:rPr>
          <w:rtl/>
          <w:lang w:eastAsia="zh-TW"/>
        </w:rPr>
        <w:tab/>
        <w:t xml:space="preserve">في الجلسة المعقودة في </w:t>
      </w:r>
      <w:r w:rsidRPr="00784F6A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 xml:space="preserve">، قررت اللجنة، </w:t>
      </w:r>
      <w:r w:rsidRPr="00784F6A">
        <w:rPr>
          <w:color w:val="FF0000"/>
          <w:rtl/>
          <w:lang w:eastAsia="zh-TW"/>
        </w:rPr>
        <w:t>[إذ فقدت الاتصال بصاحب/بأصحاب الشكوى بعد مغادرته/مغادرتهم الطوعية] [إذ لم تتلقّ</w:t>
      </w:r>
      <w:r w:rsidR="005F07FE">
        <w:rPr>
          <w:rFonts w:hint="cs"/>
          <w:color w:val="FF0000"/>
          <w:rtl/>
          <w:lang w:eastAsia="zh-TW"/>
        </w:rPr>
        <w:t>َ</w:t>
      </w:r>
      <w:r w:rsidRPr="00784F6A">
        <w:rPr>
          <w:color w:val="FF0000"/>
          <w:rtl/>
          <w:lang w:eastAsia="zh-TW"/>
        </w:rPr>
        <w:t xml:space="preserve"> رداً من صاحب/أصحاب الشكوى رغم إرسال عدة رسائل تذكيرية] [إذ لم تتلق</w:t>
      </w:r>
      <w:r w:rsidR="005F07FE">
        <w:rPr>
          <w:rFonts w:hint="cs"/>
          <w:color w:val="FF0000"/>
          <w:rtl/>
          <w:lang w:eastAsia="zh-TW"/>
        </w:rPr>
        <w:t>َّ</w:t>
      </w:r>
      <w:r w:rsidRPr="00784F6A">
        <w:rPr>
          <w:color w:val="FF0000"/>
          <w:rtl/>
          <w:lang w:eastAsia="zh-TW"/>
        </w:rPr>
        <w:t xml:space="preserve"> تعليقات صاحب/أصحاب الشكوى على ملاحظات الدولة الطرف، رغم توجيه [الرقم] رسائل تذكيرية في هذا الشأن] [إذ تلقت طلباً من صاحب/أصحاب الشكوى] [إذ تلقت [الرقم] طلباً/طلبات من محامي صاحب الشكوى بوقف</w:t>
      </w:r>
      <w:r w:rsidR="00FE1291">
        <w:rPr>
          <w:rFonts w:hint="cs"/>
          <w:color w:val="FF0000"/>
          <w:rtl/>
          <w:lang w:eastAsia="zh-TW"/>
        </w:rPr>
        <w:t xml:space="preserve"> </w:t>
      </w:r>
      <w:r w:rsidRPr="00784F6A">
        <w:rPr>
          <w:color w:val="FF0000"/>
          <w:rtl/>
          <w:lang w:eastAsia="zh-TW"/>
        </w:rPr>
        <w:t>النظر في البلاغ] [</w:t>
      </w:r>
      <w:r>
        <w:rPr>
          <w:rtl/>
          <w:lang w:eastAsia="zh-TW"/>
        </w:rPr>
        <w:t>وإذ لم تعد بالتالي قادرةً على مواصلة الإجراءات</w:t>
      </w:r>
      <w:r w:rsidRPr="00784F6A">
        <w:rPr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، وقف النظر في البلاغ رقم </w:t>
      </w:r>
      <w:r w:rsidRPr="00334C34">
        <w:rPr>
          <w:color w:val="FF0000"/>
        </w:rPr>
        <w:t>XXX</w:t>
      </w:r>
      <w:r w:rsidRPr="000D7F7C">
        <w:rPr>
          <w:b/>
          <w:bCs/>
          <w:rtl/>
          <w:lang w:eastAsia="zh-TW"/>
        </w:rPr>
        <w:t>/</w:t>
      </w:r>
      <w:r w:rsidRPr="00334C34">
        <w:rPr>
          <w:color w:val="FF0000"/>
        </w:rPr>
        <w:t>YYYY</w:t>
      </w:r>
      <w:r>
        <w:rPr>
          <w:rtl/>
          <w:lang w:eastAsia="zh-TW"/>
        </w:rPr>
        <w:t>.</w:t>
      </w:r>
    </w:p>
    <w:p w:rsidR="00091D64" w:rsidRPr="00091D64" w:rsidRDefault="00091D64" w:rsidP="00091D64">
      <w:pPr>
        <w:pStyle w:val="SingleTxtGA"/>
        <w:jc w:val="center"/>
        <w:rPr>
          <w:u w:val="single"/>
          <w:rtl/>
          <w:lang w:eastAsia="zh-TW"/>
        </w:rPr>
      </w:pPr>
      <w:r>
        <w:rPr>
          <w:u w:val="single"/>
          <w:rtl/>
          <w:lang w:eastAsia="zh-TW"/>
        </w:rPr>
        <w:tab/>
      </w:r>
      <w:r>
        <w:rPr>
          <w:u w:val="single"/>
          <w:rtl/>
          <w:lang w:eastAsia="zh-TW"/>
        </w:rPr>
        <w:tab/>
      </w:r>
      <w:r>
        <w:rPr>
          <w:u w:val="single"/>
          <w:rtl/>
          <w:lang w:eastAsia="zh-TW"/>
        </w:rPr>
        <w:tab/>
      </w:r>
    </w:p>
    <w:p w:rsidR="00091D64" w:rsidRDefault="00091D64" w:rsidP="00091D64">
      <w:pPr>
        <w:pStyle w:val="SingleTxtGA"/>
        <w:rPr>
          <w:szCs w:val="20"/>
        </w:rPr>
      </w:pPr>
    </w:p>
    <w:sectPr w:rsidR="00091D64" w:rsidSect="00091D6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0E2" w:rsidRPr="002901D9" w:rsidRDefault="00D960E2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D960E2" w:rsidRDefault="00D960E2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64" w:rsidRPr="00091D64" w:rsidRDefault="00091D64" w:rsidP="00091D64">
    <w:pPr>
      <w:pStyle w:val="Footer"/>
      <w:tabs>
        <w:tab w:val="right" w:pos="9598"/>
      </w:tabs>
    </w:pPr>
    <w:r>
      <w:rPr>
        <w:sz w:val="17"/>
      </w:rPr>
      <w:t>GE.</w:t>
    </w:r>
    <w:r>
      <w:rPr>
        <w:sz w:val="17"/>
      </w:rPr>
      <w:tab/>
    </w:r>
    <w:r w:rsidRPr="00F57FEA">
      <w:rPr>
        <w:b/>
        <w:sz w:val="18"/>
      </w:rPr>
      <w:fldChar w:fldCharType="begin"/>
    </w:r>
    <w:r w:rsidRPr="00F57FEA">
      <w:rPr>
        <w:b/>
        <w:sz w:val="18"/>
      </w:rPr>
      <w:instrText xml:space="preserve"> PAGE  \* MERGEFORMAT </w:instrText>
    </w:r>
    <w:r w:rsidRPr="00F57FEA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F57FEA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6959B0" w:rsidRDefault="00091D64" w:rsidP="00091D64">
    <w:pPr>
      <w:pStyle w:val="Footer"/>
      <w:tabs>
        <w:tab w:val="right" w:pos="9599"/>
      </w:tabs>
      <w:jc w:val="left"/>
      <w:rPr>
        <w:lang w:val="en-US"/>
      </w:rPr>
    </w:pPr>
    <w:r w:rsidRPr="00F57FEA">
      <w:rPr>
        <w:b/>
        <w:sz w:val="18"/>
        <w:lang w:val="en-US"/>
      </w:rPr>
      <w:fldChar w:fldCharType="begin"/>
    </w:r>
    <w:r w:rsidRPr="00F57FEA">
      <w:rPr>
        <w:b/>
        <w:sz w:val="18"/>
        <w:lang w:val="en-US"/>
      </w:rPr>
      <w:instrText xml:space="preserve"> PAGE  \* MERGEFORMAT </w:instrText>
    </w:r>
    <w:r w:rsidRPr="00F57FEA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F57FEA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091D64" w:rsidP="00091D64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65920" behindDoc="1" locked="1" layoutInCell="0" allowOverlap="1" wp14:anchorId="794CDCA4" wp14:editId="14B97332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64" w:rsidRPr="00091D64" w:rsidRDefault="00091D64" w:rsidP="00091D64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0E2" w:rsidRPr="0054762C" w:rsidRDefault="00D960E2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D960E2" w:rsidRDefault="00D960E2" w:rsidP="00656392">
      <w:pPr>
        <w:spacing w:line="240" w:lineRule="auto"/>
      </w:pPr>
      <w:r>
        <w:continuationSeparator/>
      </w:r>
    </w:p>
  </w:footnote>
  <w:footnote w:id="1">
    <w:p w:rsidR="00091D64" w:rsidRPr="00091D64" w:rsidRDefault="00091D64" w:rsidP="00091D64">
      <w:pPr>
        <w:pStyle w:val="FootnoteText1"/>
        <w:rPr>
          <w:lang w:bidi="ar-DZ"/>
        </w:rPr>
      </w:pPr>
      <w:r>
        <w:rPr>
          <w:rtl/>
          <w:lang w:bidi="ar-DZ"/>
        </w:rPr>
        <w:t>*</w:t>
      </w:r>
      <w:r>
        <w:rPr>
          <w:rtl/>
          <w:lang w:bidi="ar-DZ"/>
        </w:rPr>
        <w:tab/>
      </w:r>
      <w:r w:rsidRPr="00091D64">
        <w:rPr>
          <w:rtl/>
          <w:lang w:bidi="ar-DZ"/>
        </w:rPr>
        <w:t xml:space="preserve">اعتمدته اللجنة في دورتها </w:t>
      </w:r>
      <w:r w:rsidRPr="00091D64">
        <w:rPr>
          <w:color w:val="FF0000"/>
          <w:rtl/>
          <w:lang w:bidi="ar-DZ"/>
        </w:rPr>
        <w:t>الرقم</w:t>
      </w:r>
      <w:r w:rsidRPr="00091D64">
        <w:rPr>
          <w:rtl/>
          <w:lang w:bidi="ar-DZ"/>
        </w:rPr>
        <w:t xml:space="preserve"> (</w:t>
      </w:r>
      <w:r w:rsidRPr="00091D64">
        <w:rPr>
          <w:color w:val="FF0000"/>
          <w:rtl/>
          <w:lang w:bidi="ar-DZ"/>
        </w:rPr>
        <w:t>التواريخ</w:t>
      </w:r>
      <w:r w:rsidRPr="00091D64">
        <w:rPr>
          <w:rtl/>
          <w:lang w:bidi="ar-DZ"/>
        </w:rPr>
        <w:t>).</w:t>
      </w:r>
    </w:p>
  </w:footnote>
  <w:footnote w:id="2">
    <w:p w:rsidR="00091D64" w:rsidRPr="00091D64" w:rsidRDefault="00091D64" w:rsidP="00091D64">
      <w:pPr>
        <w:pStyle w:val="FootnoteText1"/>
        <w:rPr>
          <w:lang w:bidi="ar-DZ"/>
        </w:rPr>
      </w:pPr>
      <w:r>
        <w:rPr>
          <w:rtl/>
          <w:lang w:bidi="ar-DZ"/>
        </w:rPr>
        <w:t>**</w:t>
      </w:r>
      <w:r>
        <w:rPr>
          <w:rtl/>
          <w:lang w:bidi="ar-DZ"/>
        </w:rPr>
        <w:tab/>
      </w:r>
      <w:r w:rsidRPr="00091D64">
        <w:rPr>
          <w:rtl/>
          <w:lang w:bidi="ar-DZ"/>
        </w:rPr>
        <w:t xml:space="preserve">شارك في دراسة هذا البلاغ أعضاء اللجنة التالية أسماؤهم: السعدية </w:t>
      </w:r>
      <w:proofErr w:type="spellStart"/>
      <w:r w:rsidRPr="00091D64">
        <w:rPr>
          <w:rtl/>
          <w:lang w:bidi="ar-DZ"/>
        </w:rPr>
        <w:t>بلمير</w:t>
      </w:r>
      <w:proofErr w:type="spellEnd"/>
      <w:r w:rsidR="005F07FE">
        <w:rPr>
          <w:rFonts w:hint="cs"/>
          <w:rtl/>
          <w:lang w:bidi="ar-DZ"/>
        </w:rPr>
        <w:t>،</w:t>
      </w:r>
      <w:bookmarkStart w:id="0" w:name="_GoBack"/>
      <w:bookmarkEnd w:id="0"/>
      <w:r w:rsidRPr="00091D64">
        <w:rPr>
          <w:rtl/>
          <w:lang w:bidi="ar-DZ"/>
        </w:rPr>
        <w:t xml:space="preserve"> </w:t>
      </w:r>
      <w:proofErr w:type="spellStart"/>
      <w:r w:rsidRPr="00091D64">
        <w:rPr>
          <w:rtl/>
          <w:lang w:bidi="ar-DZ"/>
        </w:rPr>
        <w:t>وأليسيو</w:t>
      </w:r>
      <w:proofErr w:type="spellEnd"/>
      <w:r w:rsidRPr="00091D64">
        <w:rPr>
          <w:rtl/>
          <w:lang w:bidi="ar-DZ"/>
        </w:rPr>
        <w:t xml:space="preserve"> بروني</w:t>
      </w:r>
      <w:r w:rsidR="005F07FE">
        <w:rPr>
          <w:rFonts w:hint="cs"/>
          <w:rtl/>
          <w:lang w:bidi="ar-DZ"/>
        </w:rPr>
        <w:t>،</w:t>
      </w:r>
      <w:r w:rsidRPr="00091D64">
        <w:rPr>
          <w:rtl/>
          <w:lang w:bidi="ar-DZ"/>
        </w:rPr>
        <w:t xml:space="preserve"> </w:t>
      </w:r>
      <w:proofErr w:type="spellStart"/>
      <w:r w:rsidRPr="00091D64">
        <w:rPr>
          <w:rtl/>
          <w:lang w:bidi="ar-DZ"/>
        </w:rPr>
        <w:t>وفيليس</w:t>
      </w:r>
      <w:proofErr w:type="spellEnd"/>
      <w:r w:rsidRPr="00091D64">
        <w:rPr>
          <w:rtl/>
          <w:lang w:bidi="ar-DZ"/>
        </w:rPr>
        <w:t xml:space="preserve"> غاير، وعبد الوهاب هاني، وكلود هيلر </w:t>
      </w:r>
      <w:proofErr w:type="spellStart"/>
      <w:r w:rsidRPr="00091D64">
        <w:rPr>
          <w:rtl/>
          <w:lang w:bidi="ar-DZ"/>
        </w:rPr>
        <w:t>رواسانت</w:t>
      </w:r>
      <w:proofErr w:type="spellEnd"/>
      <w:r w:rsidRPr="00091D64">
        <w:rPr>
          <w:rtl/>
          <w:lang w:bidi="ar-DZ"/>
        </w:rPr>
        <w:t xml:space="preserve">، وينس </w:t>
      </w:r>
      <w:proofErr w:type="spellStart"/>
      <w:r w:rsidRPr="00091D64">
        <w:rPr>
          <w:rtl/>
          <w:lang w:bidi="ar-DZ"/>
        </w:rPr>
        <w:t>مودفيغ</w:t>
      </w:r>
      <w:proofErr w:type="spellEnd"/>
      <w:r w:rsidRPr="00091D64">
        <w:rPr>
          <w:rtl/>
          <w:lang w:bidi="ar-DZ"/>
        </w:rPr>
        <w:t xml:space="preserve">، وسابانا برادان - مالا، وآنا </w:t>
      </w:r>
      <w:proofErr w:type="spellStart"/>
      <w:r w:rsidRPr="00091D64">
        <w:rPr>
          <w:rtl/>
          <w:lang w:bidi="ar-DZ"/>
        </w:rPr>
        <w:t>راكو</w:t>
      </w:r>
      <w:proofErr w:type="spellEnd"/>
      <w:r w:rsidRPr="00091D64">
        <w:rPr>
          <w:rtl/>
          <w:lang w:bidi="ar-DZ"/>
        </w:rPr>
        <w:t xml:space="preserve">، وسيباستيان توزيه، </w:t>
      </w:r>
      <w:proofErr w:type="spellStart"/>
      <w:r w:rsidRPr="00091D64">
        <w:rPr>
          <w:rtl/>
          <w:lang w:bidi="ar-DZ"/>
        </w:rPr>
        <w:t>وكينينغ</w:t>
      </w:r>
      <w:proofErr w:type="spellEnd"/>
      <w:r w:rsidRPr="00091D64">
        <w:rPr>
          <w:rtl/>
          <w:lang w:bidi="ar-DZ"/>
        </w:rPr>
        <w:t xml:space="preserve"> </w:t>
      </w:r>
      <w:proofErr w:type="spellStart"/>
      <w:r w:rsidRPr="00091D64">
        <w:rPr>
          <w:rtl/>
          <w:lang w:bidi="ar-DZ"/>
        </w:rPr>
        <w:t>جانغ</w:t>
      </w:r>
      <w:proofErr w:type="spellEnd"/>
      <w:r w:rsidRPr="00091D64">
        <w:rPr>
          <w:rtl/>
          <w:lang w:bidi="ar-D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64" w:rsidRPr="00091D64" w:rsidRDefault="00091D64" w:rsidP="00091D64">
    <w:pPr>
      <w:pStyle w:val="Header"/>
      <w:jc w:val="right"/>
    </w:pPr>
    <w:r w:rsidRPr="00091D64">
      <w:t>CAT/C/</w:t>
    </w:r>
    <w:r w:rsidRPr="00091D64">
      <w:rPr>
        <w:color w:val="FF0000"/>
      </w:rPr>
      <w:t>SS</w:t>
    </w:r>
    <w:r w:rsidRPr="00091D64">
      <w:t>/D/</w:t>
    </w:r>
    <w:r w:rsidRPr="00091D64">
      <w:rPr>
        <w:color w:val="FF0000"/>
      </w:rPr>
      <w:t>XXX</w:t>
    </w:r>
    <w:r w:rsidRPr="00091D64">
      <w:t>/</w:t>
    </w:r>
    <w:r w:rsidRPr="00091D64">
      <w:rPr>
        <w:color w:val="FF0000"/>
      </w:rPr>
      <w:t>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64" w:rsidRDefault="00091D64" w:rsidP="00091D64">
    <w:pPr>
      <w:pStyle w:val="Header"/>
      <w:jc w:val="left"/>
    </w:pPr>
    <w:r w:rsidRPr="00091D64">
      <w:t>CAT/C/</w:t>
    </w:r>
    <w:r w:rsidRPr="00091D64">
      <w:rPr>
        <w:color w:val="FF0000"/>
      </w:rPr>
      <w:t>SS</w:t>
    </w:r>
    <w:r w:rsidRPr="00091D64">
      <w:t>/D/</w:t>
    </w:r>
    <w:r w:rsidRPr="00091D64">
      <w:rPr>
        <w:color w:val="FF0000"/>
      </w:rPr>
      <w:t>XXX</w:t>
    </w:r>
    <w:r w:rsidRPr="00091D64">
      <w:t>/</w:t>
    </w:r>
    <w:r w:rsidRPr="00091D64">
      <w:rPr>
        <w:color w:val="FF0000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E2"/>
    <w:rsid w:val="000076D5"/>
    <w:rsid w:val="00043663"/>
    <w:rsid w:val="000505CF"/>
    <w:rsid w:val="00091D64"/>
    <w:rsid w:val="000D701C"/>
    <w:rsid w:val="000E2A71"/>
    <w:rsid w:val="000E524A"/>
    <w:rsid w:val="00160263"/>
    <w:rsid w:val="001773DB"/>
    <w:rsid w:val="00181F96"/>
    <w:rsid w:val="001A1371"/>
    <w:rsid w:val="001B346A"/>
    <w:rsid w:val="001E0DCA"/>
    <w:rsid w:val="001E1CAD"/>
    <w:rsid w:val="001E290D"/>
    <w:rsid w:val="002144FA"/>
    <w:rsid w:val="0023469A"/>
    <w:rsid w:val="00243C8A"/>
    <w:rsid w:val="00267A0E"/>
    <w:rsid w:val="002901D9"/>
    <w:rsid w:val="002976C2"/>
    <w:rsid w:val="00325CC1"/>
    <w:rsid w:val="003260FF"/>
    <w:rsid w:val="00343D95"/>
    <w:rsid w:val="00374341"/>
    <w:rsid w:val="003D1062"/>
    <w:rsid w:val="003E159A"/>
    <w:rsid w:val="004205C7"/>
    <w:rsid w:val="00420D7B"/>
    <w:rsid w:val="00450B21"/>
    <w:rsid w:val="00453B63"/>
    <w:rsid w:val="00455780"/>
    <w:rsid w:val="004B0A1C"/>
    <w:rsid w:val="004D298E"/>
    <w:rsid w:val="004E32F4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7FE"/>
    <w:rsid w:val="005F0FA4"/>
    <w:rsid w:val="005F30EE"/>
    <w:rsid w:val="0060473A"/>
    <w:rsid w:val="00606EDF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852A9A"/>
    <w:rsid w:val="00871544"/>
    <w:rsid w:val="008930DB"/>
    <w:rsid w:val="00895D16"/>
    <w:rsid w:val="008D5C5D"/>
    <w:rsid w:val="008F49E1"/>
    <w:rsid w:val="0090370F"/>
    <w:rsid w:val="009269D2"/>
    <w:rsid w:val="00942135"/>
    <w:rsid w:val="009521B0"/>
    <w:rsid w:val="009A7E9F"/>
    <w:rsid w:val="009E5018"/>
    <w:rsid w:val="00A0431A"/>
    <w:rsid w:val="00A12B37"/>
    <w:rsid w:val="00A50EC0"/>
    <w:rsid w:val="00A74331"/>
    <w:rsid w:val="00AB6758"/>
    <w:rsid w:val="00B13763"/>
    <w:rsid w:val="00B477A4"/>
    <w:rsid w:val="00B54045"/>
    <w:rsid w:val="00BA5E8B"/>
    <w:rsid w:val="00C022F5"/>
    <w:rsid w:val="00C438D7"/>
    <w:rsid w:val="00C53FE8"/>
    <w:rsid w:val="00C81B50"/>
    <w:rsid w:val="00CA655B"/>
    <w:rsid w:val="00CB3C3C"/>
    <w:rsid w:val="00CD1801"/>
    <w:rsid w:val="00D10EF1"/>
    <w:rsid w:val="00D42810"/>
    <w:rsid w:val="00D77428"/>
    <w:rsid w:val="00D914A7"/>
    <w:rsid w:val="00D960E2"/>
    <w:rsid w:val="00DD13C3"/>
    <w:rsid w:val="00DD596E"/>
    <w:rsid w:val="00DD621E"/>
    <w:rsid w:val="00DF0575"/>
    <w:rsid w:val="00E70E04"/>
    <w:rsid w:val="00EC05A7"/>
    <w:rsid w:val="00EC4B6B"/>
    <w:rsid w:val="00ED3755"/>
    <w:rsid w:val="00ED7442"/>
    <w:rsid w:val="00EE0B18"/>
    <w:rsid w:val="00EF1EE5"/>
    <w:rsid w:val="00F6741C"/>
    <w:rsid w:val="00F763B4"/>
    <w:rsid w:val="00F900C3"/>
    <w:rsid w:val="00FC75D1"/>
    <w:rsid w:val="00FD4BC9"/>
    <w:rsid w:val="00FE1291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D7CC0BC"/>
  <w15:docId w15:val="{640244EE-52E2-4D3C-BBBA-1DB52516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D64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qFormat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091D64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SingleTxtG">
    <w:name w:val="_ Single Txt_G"/>
    <w:basedOn w:val="Normal"/>
    <w:link w:val="SingleTxtGChar"/>
    <w:rsid w:val="00091D64"/>
    <w:pPr>
      <w:suppressAutoHyphens/>
      <w:bidi w:val="0"/>
      <w:spacing w:after="120"/>
      <w:ind w:left="1134" w:right="1134"/>
      <w:jc w:val="both"/>
    </w:pPr>
    <w:rPr>
      <w:rFonts w:eastAsia="SimSun" w:hAnsiTheme="minorHAnsi"/>
      <w:lang w:val="en-GB" w:eastAsia="zh-CN"/>
    </w:rPr>
  </w:style>
  <w:style w:type="character" w:customStyle="1" w:styleId="SingleTxtGChar">
    <w:name w:val="_ Single Txt_G Char"/>
    <w:basedOn w:val="DefaultParagraphFont"/>
    <w:link w:val="SingleTxtG"/>
    <w:locked/>
    <w:rsid w:val="00091D64"/>
    <w:rPr>
      <w:rFonts w:ascii="Times New Roman" w:eastAsia="SimSun" w:cs="Traditional Arabic"/>
      <w:sz w:val="20"/>
      <w:szCs w:val="3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C432-8030-4229-A38D-2B2C1C17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DCM/TEMPLATE/81</vt:lpstr>
    </vt:vector>
  </TitlesOfParts>
  <Company>DCM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DCM/TEMPLATE/81</dc:title>
  <dc:subject>GE.1805009A</dc:subject>
  <dc:creator>J.KAH - WDH</dc:creator>
  <cp:keywords>ODS No.1808258A</cp:keywords>
  <dc:description>Original: English _x000d_
Distribution: General_x000d_
Date:</dc:description>
  <cp:lastModifiedBy>Walid Daher</cp:lastModifiedBy>
  <cp:revision>2</cp:revision>
  <cp:lastPrinted>2018-04-26T05:26:00Z</cp:lastPrinted>
  <dcterms:created xsi:type="dcterms:W3CDTF">2020-01-09T15:47:00Z</dcterms:created>
  <dcterms:modified xsi:type="dcterms:W3CDTF">2020-01-09T15:47:00Z</dcterms:modified>
  <cp:category>Final</cp:category>
</cp:coreProperties>
</file>