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CBDE" w14:textId="29D2C3C3" w:rsidR="00DE16D4" w:rsidRDefault="00DE16D4" w:rsidP="00FE112C">
      <w:pPr>
        <w:bidi/>
        <w:jc w:val="both"/>
        <w:rPr>
          <w:b/>
          <w:bCs/>
          <w:sz w:val="30"/>
          <w:szCs w:val="30"/>
          <w:rtl/>
        </w:rPr>
      </w:pPr>
      <w:bookmarkStart w:id="0" w:name="_GoBack"/>
      <w:bookmarkEnd w:id="0"/>
      <w:r w:rsidRPr="00DE16D4">
        <w:rPr>
          <w:rFonts w:hint="cs"/>
          <w:b/>
          <w:bCs/>
          <w:sz w:val="30"/>
          <w:szCs w:val="30"/>
          <w:rtl/>
        </w:rPr>
        <w:t xml:space="preserve">استعمال "ما" </w:t>
      </w:r>
      <w:proofErr w:type="spellStart"/>
      <w:r w:rsidRPr="00DE16D4">
        <w:rPr>
          <w:rFonts w:hint="cs"/>
          <w:b/>
          <w:bCs/>
          <w:sz w:val="30"/>
          <w:szCs w:val="30"/>
          <w:rtl/>
        </w:rPr>
        <w:t>الموصولية</w:t>
      </w:r>
      <w:proofErr w:type="spellEnd"/>
      <w:r w:rsidRPr="00DE16D4">
        <w:rPr>
          <w:rFonts w:hint="cs"/>
          <w:b/>
          <w:bCs/>
          <w:sz w:val="30"/>
          <w:szCs w:val="30"/>
          <w:rtl/>
        </w:rPr>
        <w:t xml:space="preserve"> </w:t>
      </w:r>
      <w:proofErr w:type="spellStart"/>
      <w:r w:rsidRPr="00DE16D4">
        <w:rPr>
          <w:rFonts w:hint="cs"/>
          <w:b/>
          <w:bCs/>
          <w:sz w:val="30"/>
          <w:szCs w:val="30"/>
          <w:rtl/>
        </w:rPr>
        <w:t>المبهة</w:t>
      </w:r>
      <w:proofErr w:type="spellEnd"/>
    </w:p>
    <w:p w14:paraId="4B7036AE" w14:textId="77777777" w:rsidR="00DE16D4" w:rsidRPr="00541582" w:rsidRDefault="00DE16D4" w:rsidP="00FE112C">
      <w:pPr>
        <w:bidi/>
        <w:jc w:val="both"/>
        <w:rPr>
          <w:i/>
          <w:iCs/>
          <w:sz w:val="30"/>
          <w:szCs w:val="30"/>
          <w:rtl/>
          <w:lang w:val="fr-CH"/>
        </w:rPr>
      </w:pPr>
      <w:r w:rsidRPr="00541582">
        <w:rPr>
          <w:rFonts w:hint="cs"/>
          <w:i/>
          <w:iCs/>
          <w:sz w:val="30"/>
          <w:szCs w:val="30"/>
          <w:rtl/>
          <w:lang w:val="fr-CH"/>
        </w:rPr>
        <w:t xml:space="preserve">ورقة من إعداد رئيس القسم </w:t>
      </w:r>
    </w:p>
    <w:p w14:paraId="3AD060AA" w14:textId="77777777" w:rsidR="00DE16D4" w:rsidRPr="00DE16D4" w:rsidRDefault="00DE16D4" w:rsidP="00FE112C">
      <w:pPr>
        <w:bidi/>
        <w:jc w:val="both"/>
        <w:rPr>
          <w:b/>
          <w:bCs/>
          <w:sz w:val="30"/>
          <w:szCs w:val="30"/>
          <w:rtl/>
        </w:rPr>
      </w:pPr>
    </w:p>
    <w:p w14:paraId="728CEAE6" w14:textId="4B231CD5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من الأخطاء التي ازدادت شيوعا في السنوات الأخيرة</w:t>
      </w:r>
      <w:r>
        <w:rPr>
          <w:sz w:val="30"/>
          <w:szCs w:val="30"/>
        </w:rPr>
        <w:t> </w:t>
      </w:r>
      <w:r>
        <w:rPr>
          <w:rFonts w:hint="cs"/>
          <w:sz w:val="30"/>
          <w:szCs w:val="30"/>
          <w:rtl/>
        </w:rPr>
        <w:t xml:space="preserve">استعمال "ما" </w:t>
      </w:r>
      <w:proofErr w:type="spellStart"/>
      <w:r>
        <w:rPr>
          <w:rFonts w:hint="cs"/>
          <w:sz w:val="30"/>
          <w:szCs w:val="30"/>
          <w:rtl/>
        </w:rPr>
        <w:t>الموصولية</w:t>
      </w:r>
      <w:proofErr w:type="spellEnd"/>
      <w:r>
        <w:rPr>
          <w:sz w:val="30"/>
          <w:szCs w:val="30"/>
          <w:lang w:val="fr-CH"/>
        </w:rPr>
        <w:t> </w:t>
      </w:r>
      <w:r>
        <w:rPr>
          <w:rFonts w:hint="cs"/>
          <w:sz w:val="30"/>
          <w:szCs w:val="30"/>
          <w:rtl/>
        </w:rPr>
        <w:t xml:space="preserve">استعمالا مبهما للإشارة إلى كل ما سبق دون تحديد ووضوح </w:t>
      </w:r>
      <w:r w:rsidR="00FE112C">
        <w:rPr>
          <w:rFonts w:hint="cs"/>
          <w:sz w:val="30"/>
          <w:szCs w:val="30"/>
          <w:rtl/>
        </w:rPr>
        <w:t>ما تشير إليه</w:t>
      </w:r>
      <w:r>
        <w:rPr>
          <w:rFonts w:hint="cs"/>
          <w:sz w:val="30"/>
          <w:szCs w:val="30"/>
          <w:rtl/>
        </w:rPr>
        <w:t xml:space="preserve"> كما يقتضيه منطق العربية الأصيل. ولعل منشأ هذا الاستعمال ترجمة حرفية للموصول الإنكليزي </w:t>
      </w:r>
      <w:proofErr w:type="gramStart"/>
      <w:r>
        <w:rPr>
          <w:sz w:val="30"/>
          <w:szCs w:val="30"/>
        </w:rPr>
        <w:t xml:space="preserve">which </w:t>
      </w:r>
      <w:r w:rsidR="00FE112C">
        <w:rPr>
          <w:rFonts w:hint="cs"/>
          <w:sz w:val="30"/>
          <w:szCs w:val="30"/>
          <w:rtl/>
        </w:rPr>
        <w:t>،</w:t>
      </w:r>
      <w:proofErr w:type="gramEnd"/>
      <w:r w:rsidR="00FE112C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>عندما يحيل إلى الكلام السابق لا إلى اسم محدد صريح،  كما في الجملة التالية:</w:t>
      </w:r>
    </w:p>
    <w:p w14:paraId="231C5EEF" w14:textId="77777777" w:rsidR="00DE16D4" w:rsidRDefault="00DE16D4" w:rsidP="00FE112C">
      <w:pPr>
        <w:bidi/>
        <w:jc w:val="both"/>
        <w:rPr>
          <w:rFonts w:ascii="Arial" w:hAnsi="Arial" w:cs="Arial"/>
          <w:color w:val="225F73"/>
          <w:spacing w:val="3"/>
          <w:sz w:val="27"/>
          <w:szCs w:val="27"/>
          <w:shd w:val="clear" w:color="auto" w:fill="FFFFFF"/>
          <w:rtl/>
        </w:rPr>
      </w:pPr>
      <w:r>
        <w:rPr>
          <w:rFonts w:ascii="Open Sans" w:hAnsi="Open Sans"/>
          <w:color w:val="225F73"/>
          <w:spacing w:val="3"/>
          <w:sz w:val="27"/>
          <w:szCs w:val="27"/>
          <w:shd w:val="clear" w:color="auto" w:fill="FFFFFF"/>
        </w:rPr>
        <w:t>June Gloom is over, summer is officially here – and the days are only getting shorter – </w:t>
      </w:r>
      <w:r>
        <w:rPr>
          <w:rStyle w:val="Emphasis"/>
          <w:rFonts w:ascii="Open Sans" w:hAnsi="Open Sans"/>
          <w:color w:val="225F73"/>
          <w:spacing w:val="3"/>
          <w:sz w:val="27"/>
          <w:szCs w:val="27"/>
          <w:bdr w:val="none" w:sz="0" w:space="0" w:color="auto" w:frame="1"/>
          <w:shd w:val="clear" w:color="auto" w:fill="FFFFFF"/>
        </w:rPr>
        <w:t>which</w:t>
      </w:r>
      <w:r>
        <w:rPr>
          <w:rFonts w:ascii="Open Sans" w:hAnsi="Open Sans"/>
          <w:color w:val="225F73"/>
          <w:spacing w:val="3"/>
          <w:sz w:val="27"/>
          <w:szCs w:val="27"/>
          <w:shd w:val="clear" w:color="auto" w:fill="FFFFFF"/>
        </w:rPr>
        <w:t> is reason enough to knock off work early and head to happy hour.</w:t>
      </w:r>
    </w:p>
    <w:p w14:paraId="1272C786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ascii="Arial" w:hAnsi="Arial" w:cs="Arial"/>
          <w:color w:val="225F73"/>
          <w:spacing w:val="3"/>
          <w:sz w:val="27"/>
          <w:szCs w:val="27"/>
          <w:shd w:val="clear" w:color="auto" w:fill="FFFFFF"/>
          <w:rtl/>
        </w:rPr>
        <w:t xml:space="preserve">(معجم </w:t>
      </w:r>
      <w:r>
        <w:rPr>
          <w:rFonts w:ascii="Open Sans" w:hAnsi="Open Sans"/>
          <w:color w:val="225F73"/>
          <w:spacing w:val="3"/>
          <w:sz w:val="27"/>
          <w:szCs w:val="27"/>
          <w:shd w:val="clear" w:color="auto" w:fill="FFFFFF"/>
        </w:rPr>
        <w:t>Merriam-Webster</w:t>
      </w:r>
      <w:r>
        <w:rPr>
          <w:rFonts w:ascii="Arial" w:hAnsi="Arial" w:cs="Arial"/>
          <w:color w:val="225F73"/>
          <w:spacing w:val="3"/>
          <w:sz w:val="27"/>
          <w:szCs w:val="27"/>
          <w:shd w:val="clear" w:color="auto" w:fill="FFFFFF"/>
          <w:rtl/>
        </w:rPr>
        <w:t>)</w:t>
      </w:r>
      <w:r>
        <w:rPr>
          <w:rFonts w:hint="cs"/>
          <w:sz w:val="30"/>
          <w:szCs w:val="30"/>
          <w:rtl/>
        </w:rPr>
        <w:t xml:space="preserve"> </w:t>
      </w:r>
    </w:p>
    <w:p w14:paraId="585D2B35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</w:p>
    <w:p w14:paraId="094F6DB1" w14:textId="0594A8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sz w:val="30"/>
          <w:szCs w:val="30"/>
          <w:lang w:val="fr-CH"/>
        </w:rPr>
        <w:t> </w:t>
      </w:r>
      <w:r>
        <w:rPr>
          <w:rFonts w:hint="cs"/>
          <w:sz w:val="30"/>
          <w:szCs w:val="30"/>
          <w:rtl/>
        </w:rPr>
        <w:t xml:space="preserve">ومن الأمثلة على الاستعمال الخاطئ </w:t>
      </w:r>
      <w:proofErr w:type="gramStart"/>
      <w:r>
        <w:rPr>
          <w:rFonts w:hint="cs"/>
          <w:sz w:val="30"/>
          <w:szCs w:val="30"/>
          <w:rtl/>
        </w:rPr>
        <w:t>لـ"</w:t>
      </w:r>
      <w:proofErr w:type="gramEnd"/>
      <w:r>
        <w:rPr>
          <w:rFonts w:hint="cs"/>
          <w:sz w:val="30"/>
          <w:szCs w:val="30"/>
          <w:rtl/>
        </w:rPr>
        <w:t xml:space="preserve">ما" </w:t>
      </w:r>
      <w:proofErr w:type="spellStart"/>
      <w:r>
        <w:rPr>
          <w:rFonts w:hint="cs"/>
          <w:sz w:val="30"/>
          <w:szCs w:val="30"/>
          <w:rtl/>
        </w:rPr>
        <w:t>الموصوليه</w:t>
      </w:r>
      <w:proofErr w:type="spellEnd"/>
      <w:r>
        <w:rPr>
          <w:rFonts w:hint="cs"/>
          <w:sz w:val="30"/>
          <w:szCs w:val="30"/>
          <w:rtl/>
        </w:rPr>
        <w:t xml:space="preserve"> في وثائقنا ما يلي: "عرضت صاحبة البلاغ نسخة من تقرير قدمه أمين المظالم، فضلاً عن وثائق أخرى...، </w:t>
      </w:r>
      <w:r>
        <w:rPr>
          <w:rFonts w:hint="cs"/>
          <w:color w:val="FF0000"/>
          <w:sz w:val="30"/>
          <w:szCs w:val="30"/>
          <w:rtl/>
        </w:rPr>
        <w:t xml:space="preserve">ما </w:t>
      </w:r>
      <w:r>
        <w:rPr>
          <w:rFonts w:hint="cs"/>
          <w:sz w:val="30"/>
          <w:szCs w:val="30"/>
          <w:rtl/>
        </w:rPr>
        <w:t xml:space="preserve">يدل على أن الدولة الطرف ...". والإشكال فيما يتعلق بهذا الموصول هو كون </w:t>
      </w:r>
      <w:r w:rsidR="00FE112C">
        <w:rPr>
          <w:rFonts w:hint="cs"/>
          <w:sz w:val="30"/>
          <w:szCs w:val="30"/>
          <w:rtl/>
        </w:rPr>
        <w:t>ما تشير إليه "ما"</w:t>
      </w:r>
      <w:r>
        <w:rPr>
          <w:rFonts w:hint="cs"/>
          <w:sz w:val="30"/>
          <w:szCs w:val="30"/>
          <w:rtl/>
        </w:rPr>
        <w:t xml:space="preserve"> مبهما بحيث لو وضعنا مكانه "الذي" لما استقام الكلام. وذلك لأن </w:t>
      </w:r>
      <w:r w:rsidR="00FE112C">
        <w:rPr>
          <w:rFonts w:hint="cs"/>
          <w:sz w:val="30"/>
          <w:szCs w:val="30"/>
          <w:rtl/>
        </w:rPr>
        <w:t>ما يشير إليه</w:t>
      </w:r>
      <w:r>
        <w:rPr>
          <w:rFonts w:hint="cs"/>
          <w:sz w:val="30"/>
          <w:szCs w:val="30"/>
          <w:rtl/>
        </w:rPr>
        <w:t xml:space="preserve"> الموصول هنا مبهم </w:t>
      </w:r>
      <w:proofErr w:type="gramStart"/>
      <w:r>
        <w:rPr>
          <w:rFonts w:hint="cs"/>
          <w:sz w:val="30"/>
          <w:szCs w:val="30"/>
          <w:rtl/>
        </w:rPr>
        <w:t>تأويله :</w:t>
      </w:r>
      <w:proofErr w:type="gramEnd"/>
      <w:r>
        <w:rPr>
          <w:rFonts w:hint="cs"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عَرضُ</w:t>
      </w:r>
      <w:r>
        <w:rPr>
          <w:rFonts w:hint="cs"/>
          <w:sz w:val="30"/>
          <w:szCs w:val="30"/>
          <w:rtl/>
        </w:rPr>
        <w:t xml:space="preserve"> صاحبة البلاغ نسخةَ تقرير أمين المظالم والتقارير الأخرى هو ما/مما يدل على أن الدولة الطرف...". والصواب في الجملة السابقة أن نقول </w:t>
      </w:r>
      <w:proofErr w:type="gramStart"/>
      <w:r>
        <w:rPr>
          <w:rFonts w:hint="cs"/>
          <w:sz w:val="30"/>
          <w:szCs w:val="30"/>
          <w:rtl/>
        </w:rPr>
        <w:t>مثلا :</w:t>
      </w:r>
      <w:proofErr w:type="gramEnd"/>
    </w:p>
    <w:p w14:paraId="472FE62F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"عرضت صاحبة البلاغ...، </w:t>
      </w:r>
      <w:r>
        <w:rPr>
          <w:rFonts w:hint="cs"/>
          <w:b/>
          <w:bCs/>
          <w:sz w:val="30"/>
          <w:szCs w:val="30"/>
          <w:rtl/>
        </w:rPr>
        <w:t>وهذا ما يدل</w:t>
      </w:r>
      <w:r>
        <w:rPr>
          <w:rFonts w:hint="cs"/>
          <w:sz w:val="30"/>
          <w:szCs w:val="30"/>
          <w:rtl/>
        </w:rPr>
        <w:t xml:space="preserve"> على أن الدولة الطرف...أو...، </w:t>
      </w:r>
      <w:r>
        <w:rPr>
          <w:rFonts w:hint="cs"/>
          <w:b/>
          <w:bCs/>
          <w:sz w:val="30"/>
          <w:szCs w:val="30"/>
          <w:rtl/>
        </w:rPr>
        <w:t>ويدل هذا/ذلك</w:t>
      </w:r>
      <w:r>
        <w:rPr>
          <w:rFonts w:hint="cs"/>
          <w:sz w:val="30"/>
          <w:szCs w:val="30"/>
          <w:rtl/>
        </w:rPr>
        <w:t xml:space="preserve"> على أن الدولة الطرف ...".</w:t>
      </w:r>
    </w:p>
    <w:p w14:paraId="139E6C79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</w:p>
    <w:p w14:paraId="3FB417CD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وكثيرا ما نستعمل أيضا في مثل هذه السياقات عبارة "مِمّا" (وأصلها مِن </w:t>
      </w:r>
      <w:proofErr w:type="spellStart"/>
      <w:r>
        <w:rPr>
          <w:rFonts w:hint="cs"/>
          <w:sz w:val="30"/>
          <w:szCs w:val="30"/>
          <w:rtl/>
        </w:rPr>
        <w:t>التبعيضية</w:t>
      </w:r>
      <w:proofErr w:type="spellEnd"/>
      <w:r>
        <w:rPr>
          <w:rFonts w:hint="cs"/>
          <w:sz w:val="30"/>
          <w:szCs w:val="30"/>
          <w:rtl/>
        </w:rPr>
        <w:t xml:space="preserve">+"ما" </w:t>
      </w:r>
      <w:proofErr w:type="spellStart"/>
      <w:r>
        <w:rPr>
          <w:rFonts w:hint="cs"/>
          <w:sz w:val="30"/>
          <w:szCs w:val="30"/>
          <w:rtl/>
        </w:rPr>
        <w:t>الموصولية</w:t>
      </w:r>
      <w:proofErr w:type="spellEnd"/>
      <w:r>
        <w:rPr>
          <w:rFonts w:hint="cs"/>
          <w:sz w:val="30"/>
          <w:szCs w:val="30"/>
          <w:rtl/>
        </w:rPr>
        <w:t xml:space="preserve">)، وهي أقرب إلى الصواب إذ نجد ما يؤيد صحة استعمالها عند كبار المؤلفين. فمثلا يمكن أن نقول في الجملة السابقة: عرضت صاحبة البلاغ...، </w:t>
      </w:r>
      <w:r>
        <w:rPr>
          <w:rFonts w:hint="cs"/>
          <w:b/>
          <w:bCs/>
          <w:sz w:val="30"/>
          <w:szCs w:val="30"/>
          <w:rtl/>
        </w:rPr>
        <w:t>مِمّا</w:t>
      </w:r>
      <w:r>
        <w:rPr>
          <w:rFonts w:hint="cs"/>
          <w:sz w:val="30"/>
          <w:szCs w:val="30"/>
          <w:rtl/>
        </w:rPr>
        <w:t xml:space="preserve"> يدل على أن الدولة الطرف..". </w:t>
      </w:r>
    </w:p>
    <w:p w14:paraId="7B01F600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وهذا الاستعمال كما قلت تعضده أمثلة كثيرة عند كبار المؤلفين العرب ممن يوثق بعربيهم (بخلاف استعمال "ما" وحدها تأثرا بالإنكليزية). ومن هذه الشواهد ما يلي:</w:t>
      </w:r>
    </w:p>
    <w:p w14:paraId="154758BC" w14:textId="77777777" w:rsidR="00DE16D4" w:rsidRDefault="00DE16D4" w:rsidP="00FE112C">
      <w:pPr>
        <w:bidi/>
        <w:jc w:val="both"/>
        <w:rPr>
          <w:sz w:val="30"/>
          <w:szCs w:val="30"/>
          <w:rtl/>
          <w:lang w:val="fr-CH"/>
        </w:rPr>
      </w:pPr>
    </w:p>
    <w:p w14:paraId="6D23EC27" w14:textId="77777777" w:rsidR="00DE16D4" w:rsidRDefault="00DE16D4" w:rsidP="00FE112C">
      <w:pPr>
        <w:bidi/>
        <w:jc w:val="both"/>
        <w:rPr>
          <w:sz w:val="30"/>
          <w:szCs w:val="30"/>
          <w:rtl/>
          <w:lang w:val="fr-CH"/>
        </w:rPr>
      </w:pPr>
      <w:r>
        <w:rPr>
          <w:rFonts w:hint="cs"/>
          <w:sz w:val="30"/>
          <w:szCs w:val="30"/>
          <w:rtl/>
        </w:rPr>
        <w:t>"</w:t>
      </w:r>
      <w:r>
        <w:rPr>
          <w:rFonts w:hint="cs"/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 xml:space="preserve">...وهي إن دلت فإنما تدل على سعة علمه (أي ابن عباس) بلغة العرب، وقوة ذاكرته، </w:t>
      </w:r>
      <w:r>
        <w:rPr>
          <w:rFonts w:hint="cs"/>
          <w:b/>
          <w:bCs/>
          <w:sz w:val="30"/>
          <w:szCs w:val="30"/>
          <w:u w:val="single"/>
          <w:rtl/>
        </w:rPr>
        <w:t>ممَّا</w:t>
      </w:r>
      <w:r>
        <w:rPr>
          <w:rFonts w:hint="cs"/>
          <w:sz w:val="30"/>
          <w:szCs w:val="30"/>
          <w:rtl/>
        </w:rPr>
        <w:t xml:space="preserve"> جعله إمام التفسير في عهد الصحابة..." (من مقدمة</w:t>
      </w:r>
      <w:r>
        <w:rPr>
          <w:sz w:val="30"/>
          <w:szCs w:val="30"/>
          <w:lang w:val="fr-CH"/>
        </w:rPr>
        <w:t> </w:t>
      </w:r>
      <w:r>
        <w:rPr>
          <w:rFonts w:hint="cs"/>
          <w:sz w:val="30"/>
          <w:szCs w:val="30"/>
          <w:rtl/>
        </w:rPr>
        <w:t>تفسير أبي زيد الثعالبي، الجواهر الحسان في تفسير القرآن)؛</w:t>
      </w:r>
    </w:p>
    <w:p w14:paraId="1627756E" w14:textId="77777777" w:rsidR="00DE16D4" w:rsidRDefault="00DE16D4" w:rsidP="00FE112C">
      <w:pPr>
        <w:bidi/>
        <w:jc w:val="both"/>
        <w:rPr>
          <w:sz w:val="30"/>
          <w:szCs w:val="30"/>
          <w:lang w:val="fr-CH"/>
        </w:rPr>
      </w:pPr>
      <w:r>
        <w:rPr>
          <w:rFonts w:hint="cs"/>
          <w:sz w:val="30"/>
          <w:szCs w:val="30"/>
          <w:rtl/>
        </w:rPr>
        <w:t>------</w:t>
      </w:r>
    </w:p>
    <w:p w14:paraId="02D0A7C0" w14:textId="77777777" w:rsidR="00DE16D4" w:rsidRDefault="00DE16D4" w:rsidP="00FE112C">
      <w:pPr>
        <w:bidi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وجاء في كتاب الموافقات للعلامة الشاطبي:</w:t>
      </w:r>
    </w:p>
    <w:p w14:paraId="19C0195D" w14:textId="77777777" w:rsidR="00DE16D4" w:rsidRDefault="00DE16D4" w:rsidP="00FE112C">
      <w:pPr>
        <w:bidi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«إن القرآن نزل بلسان العرب على الجملة، فطلب فهمه إنما يكون من هذا الطريق خاصة...، إلى غير ذلك </w:t>
      </w:r>
      <w:r>
        <w:rPr>
          <w:rFonts w:hint="cs"/>
          <w:b/>
          <w:bCs/>
          <w:sz w:val="30"/>
          <w:szCs w:val="30"/>
          <w:rtl/>
        </w:rPr>
        <w:t>مِمَّا</w:t>
      </w:r>
      <w:r>
        <w:rPr>
          <w:rFonts w:hint="cs"/>
          <w:sz w:val="30"/>
          <w:szCs w:val="30"/>
          <w:rtl/>
        </w:rPr>
        <w:t xml:space="preserve"> يدل على أنه عربي وبلسان العرب».</w:t>
      </w:r>
    </w:p>
    <w:p w14:paraId="7999C97E" w14:textId="77777777" w:rsidR="00DE16D4" w:rsidRDefault="00DE16D4" w:rsidP="00FE112C">
      <w:pPr>
        <w:bidi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ومن الأمثلة الأخرى على صحة استعمال "مما" في السياق المذكور:</w:t>
      </w:r>
    </w:p>
    <w:p w14:paraId="1BD3ED46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lastRenderedPageBreak/>
        <w:t xml:space="preserve">"وكان [القاضي أبو يوسف] واسع العلم متفنن الحيلة لبِقا، </w:t>
      </w:r>
      <w:r>
        <w:rPr>
          <w:rFonts w:hint="cs"/>
          <w:b/>
          <w:bCs/>
          <w:sz w:val="30"/>
          <w:szCs w:val="30"/>
          <w:u w:val="single"/>
          <w:rtl/>
        </w:rPr>
        <w:t>ممّا</w:t>
      </w:r>
      <w:r>
        <w:rPr>
          <w:rFonts w:hint="cs"/>
          <w:sz w:val="30"/>
          <w:szCs w:val="30"/>
          <w:rtl/>
        </w:rPr>
        <w:t xml:space="preserve"> جعل [هارون] الرشيد يعينه قاضي بغداد" (أحمد أمين، هارون الرشيد، الصفحة 113).</w:t>
      </w:r>
    </w:p>
    <w:p w14:paraId="2C424BB5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وجاء في تفسير العلامة ابن عاشور:</w:t>
      </w:r>
    </w:p>
    <w:p w14:paraId="065F17DA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"...وليس فيها [أي في سورة النساء] جدال مع المشركين سوى تحقير </w:t>
      </w:r>
      <w:proofErr w:type="gramStart"/>
      <w:r>
        <w:rPr>
          <w:rFonts w:hint="cs"/>
          <w:sz w:val="30"/>
          <w:szCs w:val="30"/>
          <w:rtl/>
        </w:rPr>
        <w:t>دينهم ،</w:t>
      </w:r>
      <w:proofErr w:type="gramEnd"/>
      <w:r>
        <w:rPr>
          <w:rFonts w:hint="cs"/>
          <w:sz w:val="30"/>
          <w:szCs w:val="30"/>
          <w:rtl/>
        </w:rPr>
        <w:t xml:space="preserve"> ... وقطع معذرة المتقاعدين عن الهجرة ، وتوهين بأسهم، </w:t>
      </w:r>
      <w:r w:rsidRPr="00FE112C">
        <w:rPr>
          <w:rFonts w:hint="cs"/>
          <w:b/>
          <w:bCs/>
          <w:sz w:val="30"/>
          <w:szCs w:val="30"/>
          <w:rtl/>
        </w:rPr>
        <w:t>مما</w:t>
      </w:r>
      <w:r>
        <w:rPr>
          <w:rFonts w:hint="cs"/>
          <w:sz w:val="30"/>
          <w:szCs w:val="30"/>
          <w:rtl/>
        </w:rPr>
        <w:t xml:space="preserve"> يدل على أن أمر المشركين قد صار إلى وهن، ...، وأن معظمها ، بعد التشريع ، جدال كثير ... ، ولكنه أوسع مما في سورة آل عمران ، </w:t>
      </w:r>
      <w:r>
        <w:rPr>
          <w:rFonts w:hint="cs"/>
          <w:b/>
          <w:bCs/>
          <w:sz w:val="30"/>
          <w:szCs w:val="30"/>
          <w:u w:val="single"/>
          <w:rtl/>
        </w:rPr>
        <w:t>مما</w:t>
      </w:r>
      <w:r>
        <w:rPr>
          <w:rFonts w:hint="cs"/>
          <w:sz w:val="30"/>
          <w:szCs w:val="30"/>
          <w:rtl/>
        </w:rPr>
        <w:t xml:space="preserve"> يدل على أن... ".</w:t>
      </w:r>
    </w:p>
    <w:p w14:paraId="0922C969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</w:p>
    <w:p w14:paraId="16957200" w14:textId="77777777" w:rsidR="00DE16D4" w:rsidRDefault="00DE16D4" w:rsidP="00FE112C">
      <w:pPr>
        <w:bidi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وأعتقد أن في الأمثلة السابقة مقنع يغني عن الإطالة في الاحتجاج لصحة استعمال "مما" عوضا عن "ما" المبهمة التي تسربت إلى العربية في أغلب الظن -كما أسلفت- من لغة الصحافة المتأثرة بالإنكليزية.</w:t>
      </w:r>
    </w:p>
    <w:p w14:paraId="023DAB8D" w14:textId="77777777" w:rsidR="009D5807" w:rsidRDefault="009D5807" w:rsidP="00FE112C">
      <w:pPr>
        <w:bidi/>
        <w:jc w:val="both"/>
      </w:pPr>
    </w:p>
    <w:sectPr w:rsidR="009D5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40616" w14:textId="77777777" w:rsidR="00504F64" w:rsidRDefault="00504F64" w:rsidP="00504F64">
      <w:r>
        <w:separator/>
      </w:r>
    </w:p>
  </w:endnote>
  <w:endnote w:type="continuationSeparator" w:id="0">
    <w:p w14:paraId="6E71F68E" w14:textId="77777777" w:rsidR="00504F64" w:rsidRDefault="00504F64" w:rsidP="0050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63463" w14:textId="77777777" w:rsidR="00504F64" w:rsidRDefault="00504F64" w:rsidP="00504F64">
      <w:r>
        <w:separator/>
      </w:r>
    </w:p>
  </w:footnote>
  <w:footnote w:type="continuationSeparator" w:id="0">
    <w:p w14:paraId="139E9E21" w14:textId="77777777" w:rsidR="00504F64" w:rsidRDefault="00504F64" w:rsidP="0050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D4"/>
    <w:rsid w:val="00504F64"/>
    <w:rsid w:val="009D5807"/>
    <w:rsid w:val="00DE16D4"/>
    <w:rsid w:val="00F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BB04"/>
  <w15:chartTrackingRefBased/>
  <w15:docId w15:val="{3AB64240-93BB-4114-A380-5046578B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16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04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F6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4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F6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5B4FDE2E244A8ABB633E9862E484" ma:contentTypeVersion="13" ma:contentTypeDescription="Create a new document." ma:contentTypeScope="" ma:versionID="33bccebfe6d7fe9ccc695615f6db1fe1">
  <xsd:schema xmlns:xsd="http://www.w3.org/2001/XMLSchema" xmlns:xs="http://www.w3.org/2001/XMLSchema" xmlns:p="http://schemas.microsoft.com/office/2006/metadata/properties" xmlns:ns3="f4ad8cc1-a6e6-4857-9710-b93853386e53" xmlns:ns4="fb8fb6fb-826b-4688-a67e-baccab305db2" targetNamespace="http://schemas.microsoft.com/office/2006/metadata/properties" ma:root="true" ma:fieldsID="24b0b2a7faa4fa92ae870410c2d5d6cd" ns3:_="" ns4:_="">
    <xsd:import namespace="f4ad8cc1-a6e6-4857-9710-b93853386e53"/>
    <xsd:import namespace="fb8fb6fb-826b-4688-a67e-baccab305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d8cc1-a6e6-4857-9710-b9385338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fb6fb-826b-4688-a67e-baccab305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CDBD6-137F-48C9-AE67-DA9A1BE7A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EFAE9-253A-4E7A-8651-2BF45E1E7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1A0DB-ED1C-4CE5-A85E-FF09C195C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d8cc1-a6e6-4857-9710-b93853386e53"/>
    <ds:schemaRef ds:uri="fb8fb6fb-826b-4688-a67e-baccab305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4</DocSecurity>
  <Lines>18</Lines>
  <Paragraphs>5</Paragraphs>
  <ScaleCrop>false</ScaleCrop>
  <Company>UNOG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Zahra MOUATTA</dc:creator>
  <cp:keywords/>
  <dc:description/>
  <cp:lastModifiedBy>Fatima Zahra MOUATTA</cp:lastModifiedBy>
  <cp:revision>2</cp:revision>
  <dcterms:created xsi:type="dcterms:W3CDTF">2020-10-08T14:54:00Z</dcterms:created>
  <dcterms:modified xsi:type="dcterms:W3CDTF">2020-10-08T14:54:00Z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0x01010090485B4FDE2E244A8ABB633E9862E484</vt:lpwstr>
  </property>
</Properties>
</file>